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Graça,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Iwan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Riku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Pr="0065456B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5456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1C3B2868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9EAD795" w14:textId="77777777" w:rsidR="0065456B" w:rsidRDefault="0065456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2E0E893F" w14:textId="2489EA36" w:rsidR="007E748B" w:rsidRPr="0065456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6DA80752" w:rsidR="00324569" w:rsidRPr="0065456B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101DAAF5" w:rsidR="007E748B" w:rsidRPr="0065456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324569" w:rsidRPr="0065456B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356A5E8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2041DE8F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1F230578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0D674CCE" w:rsidR="007E748B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58E1612E" w:rsidR="00566666" w:rsidRPr="0065456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10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65456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6E8105F5" w:rsidR="00566666" w:rsidRPr="0065456B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1B0FF93B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5CA4038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2A4D11E2" w:rsidR="007E748B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3351DB05" w:rsidR="00566666" w:rsidRPr="0065456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65456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65456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565700" w:rsidR="00566666" w:rsidRPr="0065456B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65456B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65456B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 w:rsidRPr="0065456B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1855CD56" w:rsidR="002F0727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 w:rsidRPr="006545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27940A53" w:rsidR="00566666" w:rsidRPr="0065456B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65456B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09043EE1" w:rsidR="00E312DF" w:rsidRPr="0065456B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1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16 | Comparison of trend estimates between meta-analysis models</w:t>
      </w:r>
      <w:r w:rsidR="006A32D5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3351DD11" w:rsidR="00E312DF" w:rsidRPr="0065456B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20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17 | Jackknife</w:t>
      </w:r>
      <w:r w:rsidR="00281F02" w:rsidRPr="0065456B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549B3C42" w:rsidR="00ED246E" w:rsidRPr="0065456B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18 | Distribution over time for sites of a given taxonomic resolution.</w:t>
      </w:r>
    </w:p>
    <w:p w14:paraId="21FBD9D1" w14:textId="77777777" w:rsidR="00281F02" w:rsidRPr="0065456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65456B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1FC4C770" w:rsidR="00281F02" w:rsidRPr="0065456B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9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65456B">
        <w:rPr>
          <w:rFonts w:ascii="Times New Roman" w:hAnsi="Times New Roman" w:cs="Times New Roman"/>
          <w:bCs/>
          <w:sz w:val="24"/>
          <w:szCs w:val="24"/>
        </w:rPr>
        <w:t>Distribution over time of sites per country in moving window analysis</w:t>
      </w:r>
      <w:r w:rsidR="00AB3C10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355BD7" w14:textId="06BC0683" w:rsidR="00065C78" w:rsidRPr="0065456B" w:rsidRDefault="00AB3C10" w:rsidP="00B1710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 w:rsidRPr="0065456B">
        <w:rPr>
          <w:rFonts w:ascii="Times New Roman" w:hAnsi="Times New Roman" w:cs="Times New Roman"/>
          <w:bCs/>
          <w:sz w:val="24"/>
          <w:szCs w:val="24"/>
        </w:rPr>
        <w:t>20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Distribution over time for sites of a given taxonomic resolution in moving window analysis.</w:t>
      </w:r>
    </w:p>
    <w:p w14:paraId="303E6030" w14:textId="555E61A6" w:rsidR="00F017C9" w:rsidRPr="0065456B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1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Estimates of the effect of year on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t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rends in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moving window analysis</w:t>
      </w:r>
      <w:r w:rsidR="003E016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8B1EEBB" w:rsidR="00F017C9" w:rsidRPr="0065456B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2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High threshold moving window analysis</w:t>
      </w:r>
      <w:r w:rsidR="00185E52" w:rsidRPr="006545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0EADE8BF" w14:textId="07FD9053" w:rsidR="00116316" w:rsidRPr="0065456B" w:rsidRDefault="001850FB" w:rsidP="00185E5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lastRenderedPageBreak/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3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Moving window analysis of sites with species level community resolution.</w:t>
      </w:r>
    </w:p>
    <w:p w14:paraId="020CABEC" w14:textId="16C505D6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4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taxon richness trends in moving window analysis by country.</w:t>
      </w:r>
    </w:p>
    <w:p w14:paraId="17392DE4" w14:textId="32EF91E0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2</w:t>
      </w:r>
      <w:r w:rsidR="000454C4">
        <w:rPr>
          <w:rFonts w:ascii="Times New Roman" w:hAnsi="Times New Roman" w:cs="Times New Roman"/>
          <w:b/>
          <w:sz w:val="24"/>
          <w:szCs w:val="24"/>
        </w:rPr>
        <w:t>8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5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abundance trends in moving window analysis by country.</w:t>
      </w:r>
    </w:p>
    <w:p w14:paraId="23A9E2C9" w14:textId="67D7A039" w:rsidR="00116316" w:rsidRPr="0065456B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185E52" w:rsidRPr="0065456B">
        <w:rPr>
          <w:rFonts w:ascii="Times New Roman" w:hAnsi="Times New Roman" w:cs="Times New Roman"/>
          <w:b/>
          <w:sz w:val="24"/>
          <w:szCs w:val="24"/>
        </w:rPr>
        <w:t>2</w:t>
      </w:r>
      <w:r w:rsidR="000454C4">
        <w:rPr>
          <w:rFonts w:ascii="Times New Roman" w:hAnsi="Times New Roman" w:cs="Times New Roman"/>
          <w:b/>
          <w:sz w:val="24"/>
          <w:szCs w:val="24"/>
        </w:rPr>
        <w:t>9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6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richness trends in moving window analysis by country.</w:t>
      </w:r>
    </w:p>
    <w:p w14:paraId="4C59DABB" w14:textId="2CC31BB3" w:rsid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 xml:space="preserve">Pg. </w:t>
      </w:r>
      <w:r w:rsidR="000454C4">
        <w:rPr>
          <w:rFonts w:ascii="Times New Roman" w:hAnsi="Times New Roman" w:cs="Times New Roman"/>
          <w:b/>
          <w:sz w:val="24"/>
          <w:szCs w:val="24"/>
        </w:rPr>
        <w:t>30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</w:t>
      </w:r>
      <w:r w:rsidR="00B17104" w:rsidRPr="0065456B">
        <w:rPr>
          <w:rFonts w:ascii="Times New Roman" w:hAnsi="Times New Roman" w:cs="Times New Roman"/>
          <w:bCs/>
          <w:sz w:val="24"/>
          <w:szCs w:val="24"/>
        </w:rPr>
        <w:t>7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 | Proportion of sites with positive functional redundancy trends in moving window analysis by country.</w:t>
      </w:r>
    </w:p>
    <w:p w14:paraId="185BA033" w14:textId="77777777" w:rsidR="0065456B" w:rsidRPr="0065456B" w:rsidRDefault="0065456B" w:rsidP="0065456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8093981" w14:textId="7435E247" w:rsidR="0065456B" w:rsidRPr="0065456B" w:rsidRDefault="0065456B" w:rsidP="0065456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Driver marginal effects</w:t>
      </w:r>
    </w:p>
    <w:p w14:paraId="3EBC6679" w14:textId="30B4CB87" w:rsidR="001850F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1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28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maximum temperatures on biodiversity metrics.</w:t>
      </w:r>
    </w:p>
    <w:p w14:paraId="249A659F" w14:textId="0CD20D3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2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29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temperature trends on biodiversity metrics.</w:t>
      </w:r>
    </w:p>
    <w:p w14:paraId="523938C3" w14:textId="59BF1E05" w:rsidR="0065456B" w:rsidRPr="00EF2F8E" w:rsidRDefault="0065456B" w:rsidP="00EF2F8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3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30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annual precipitation rates on biodiversity metrics.</w:t>
      </w:r>
    </w:p>
    <w:p w14:paraId="78436CEC" w14:textId="651B2C0C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4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31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precipitation trends on biodiversity metrics.</w:t>
      </w:r>
    </w:p>
    <w:p w14:paraId="4DB6A301" w14:textId="6534E9A8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5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32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dam impact scores on biodiversity metrics.</w:t>
      </w:r>
    </w:p>
    <w:p w14:paraId="72982E35" w14:textId="000F9B06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6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 xml:space="preserve">Fig. 33 </w:t>
      </w:r>
      <w:r w:rsidR="00EF2F8E" w:rsidRPr="0065456B">
        <w:rPr>
          <w:rFonts w:ascii="Times New Roman" w:hAnsi="Times New Roman" w:cs="Times New Roman"/>
          <w:bCs/>
          <w:sz w:val="24"/>
          <w:szCs w:val="24"/>
        </w:rPr>
        <w:t>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urban areas on biodiversity metrics.</w:t>
      </w:r>
    </w:p>
    <w:p w14:paraId="2409BCBD" w14:textId="2C147457" w:rsidR="0065456B" w:rsidRPr="0065456B" w:rsidRDefault="0065456B" w:rsidP="0065456B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Cs/>
          <w:sz w:val="24"/>
          <w:szCs w:val="24"/>
        </w:rPr>
      </w:pPr>
      <w:r w:rsidRPr="0065456B">
        <w:rPr>
          <w:rFonts w:ascii="Times New Roman" w:hAnsi="Times New Roman" w:cs="Times New Roman"/>
          <w:b/>
          <w:sz w:val="24"/>
          <w:szCs w:val="24"/>
        </w:rPr>
        <w:t>Pg. 3</w:t>
      </w:r>
      <w:r w:rsidR="000454C4">
        <w:rPr>
          <w:rFonts w:ascii="Times New Roman" w:hAnsi="Times New Roman" w:cs="Times New Roman"/>
          <w:b/>
          <w:sz w:val="24"/>
          <w:szCs w:val="24"/>
        </w:rPr>
        <w:t>7</w:t>
      </w:r>
      <w:r w:rsidRPr="0065456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5456B">
        <w:rPr>
          <w:rFonts w:ascii="Times New Roman" w:hAnsi="Times New Roman" w:cs="Times New Roman"/>
          <w:bCs/>
          <w:sz w:val="24"/>
          <w:szCs w:val="24"/>
        </w:rPr>
        <w:t>Fig. 34 |</w:t>
      </w:r>
      <w:r w:rsidR="00EF2F8E">
        <w:rPr>
          <w:rFonts w:ascii="Times New Roman" w:hAnsi="Times New Roman" w:cs="Times New Roman"/>
          <w:bCs/>
          <w:sz w:val="24"/>
          <w:szCs w:val="24"/>
        </w:rPr>
        <w:t xml:space="preserve"> Marginal effect of mean % upstream crop areas on biodiversity metrics.</w:t>
      </w:r>
    </w:p>
    <w:p w14:paraId="00480F4D" w14:textId="677FA8BB" w:rsidR="00324569" w:rsidRPr="00CD0DF2" w:rsidRDefault="00CD0DF2" w:rsidP="00CD0DF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026C1014" w14:textId="691E84E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="009F28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DD9484" wp14:editId="5BC054B1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8A8" w14:textId="1EC2282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</w:t>
      </w:r>
      <w:r w:rsidR="00CD0DF2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524C5E11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6C190F6" wp14:editId="2E50C510">
            <wp:extent cx="5943600" cy="5094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60C" w14:textId="5DF0CCD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34B23587" w:rsidR="0052086F" w:rsidRDefault="00654394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BC3E95" wp14:editId="5B8409F4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5DE62088" w:rsidR="0052086F" w:rsidRDefault="00144A0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ADD6B" wp14:editId="02700BD6">
            <wp:extent cx="5943600" cy="2701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6DD19504" w:rsidR="0052086F" w:rsidRDefault="00F90087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4EA382" wp14:editId="79410563">
            <wp:extent cx="5943600" cy="594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45640CEB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06B0A" wp14:editId="2AEE77C7">
            <wp:extent cx="5943600" cy="594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686437EE" w:rsidR="0052086F" w:rsidRDefault="003B673A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644" wp14:editId="0B9E02F7">
            <wp:extent cx="5943600" cy="594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BB6" w14:textId="548CC923" w:rsidR="00987A85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F5B16F7" w14:textId="605C5A45" w:rsidR="001758CE" w:rsidRDefault="00987A85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6D4E9" w14:textId="69F9FF94" w:rsidR="00CD0DF2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36CEC13C" w14:textId="77777777" w:rsidR="00CD0DF2" w:rsidRDefault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8FC168E" w14:textId="59C2DA8D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745DD" wp14:editId="49A15008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58C66A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E129E" wp14:editId="2DA960B9">
            <wp:extent cx="5943600" cy="27019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1F9C64DC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61BA5" wp14:editId="2F570509">
            <wp:extent cx="5943600" cy="5069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5EC8D36F" w:rsidR="0052086F" w:rsidRDefault="00CD0DF2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6442C8" wp14:editId="3404F110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9E5" w14:textId="198A659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CC0BEF1" w14:textId="096A2CF9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494C050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2ADE410F" w14:textId="2B729EEA" w:rsidR="00CD0DF2" w:rsidRDefault="00CD0DF2" w:rsidP="00CD0D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E0512CF" w14:textId="558EE00F" w:rsidR="00804943" w:rsidRDefault="009F7ABB" w:rsidP="00804943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5368E7E" wp14:editId="745A136D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E2B" w14:textId="67472EE7" w:rsidR="00804943" w:rsidRDefault="00804943" w:rsidP="00804943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="009F7ABB" w:rsidRPr="009F7ABB">
        <w:rPr>
          <w:color w:val="000000" w:themeColor="text1"/>
        </w:rPr>
        <w:t>Points falling in the grey polygon indicate negative trends. The red line shows the linear regression relationship between number of years sampled and estimates and the 95% CI are shown as a pink polygon.</w:t>
      </w:r>
    </w:p>
    <w:p w14:paraId="0A8C6BFD" w14:textId="481784C7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6431BA00" w14:textId="5C192BEC" w:rsidR="001610AA" w:rsidRDefault="009F7ABB" w:rsidP="001610AA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CB6F37F" wp14:editId="659C32BD">
            <wp:extent cx="5943600" cy="5094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9D1" w14:textId="494DA527" w:rsidR="001610AA" w:rsidRDefault="001610AA" w:rsidP="001610AA">
      <w:pPr>
        <w:pStyle w:val="NormalWeb"/>
        <w:spacing w:before="0" w:beforeAutospacing="0" w:after="0" w:afterAutospacing="0"/>
        <w:rPr>
          <w:color w:val="000000" w:themeColor="text1"/>
        </w:rPr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</w:t>
      </w:r>
      <w:r w:rsidR="009F7ABB" w:rsidRPr="009F7ABB">
        <w:rPr>
          <w:color w:val="000000" w:themeColor="text1"/>
        </w:rPr>
        <w:t xml:space="preserve">Points falling in the grey polygon indicate negative trends. The red line shows the linear regression relationship between </w:t>
      </w:r>
      <w:r w:rsidR="009F7ABB">
        <w:rPr>
          <w:color w:val="000000" w:themeColor="text1"/>
        </w:rPr>
        <w:t>the first sampling year</w:t>
      </w:r>
      <w:r w:rsidR="009F7ABB" w:rsidRPr="009F7ABB">
        <w:rPr>
          <w:color w:val="000000" w:themeColor="text1"/>
        </w:rPr>
        <w:t xml:space="preserve"> sampled and estimates and the 95% CI are shown as a pink polygon.</w:t>
      </w:r>
    </w:p>
    <w:p w14:paraId="5ACAE9D9" w14:textId="357A162E" w:rsidR="00CD0DF2" w:rsidRPr="00CD0DF2" w:rsidRDefault="00CD0DF2" w:rsidP="00CD0DF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color w:val="000000" w:themeColor="text1"/>
        </w:rPr>
        <w:br w:type="page"/>
      </w:r>
    </w:p>
    <w:p w14:paraId="7A32A0F6" w14:textId="728BA686" w:rsidR="00804943" w:rsidRDefault="00C57F76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04D4D" wp14:editId="30A4C961">
            <wp:extent cx="5943600" cy="495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27B1AF37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311B4E43" w14:textId="7F963947" w:rsid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0EC13A75" w14:textId="25EC4BCF" w:rsidR="00ED246E" w:rsidRDefault="00CD0DF2" w:rsidP="0052086F">
      <w:pPr>
        <w:rPr>
          <w:bCs/>
        </w:rPr>
      </w:pPr>
      <w:r>
        <w:rPr>
          <w:bCs/>
        </w:rPr>
        <w:br w:type="page"/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75250B9A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478FEB" w14:textId="0A68E618" w:rsidR="00CD0DF2" w:rsidRPr="00CD0DF2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68308F37" w:rsidR="00CD0DF2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121C713B" w14:textId="7011DC7F" w:rsidR="006A32D5" w:rsidRDefault="00CD0DF2" w:rsidP="0052086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90F7808" w14:textId="1D04BDF7" w:rsidR="006A1692" w:rsidRDefault="003B7E95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9F87A48" wp14:editId="669C8B32">
            <wp:extent cx="5943600" cy="509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1CEF62A4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185E52" w:rsidRPr="00185E52">
        <w:rPr>
          <w:rFonts w:ascii="Times New Roman" w:hAnsi="Times New Roman" w:cs="Times New Roman"/>
          <w:b/>
          <w:sz w:val="24"/>
          <w:szCs w:val="24"/>
        </w:rPr>
        <w:t>Estimates of the effect of year on trends in moving window analysis</w:t>
      </w:r>
      <w:r w:rsidRPr="00185E52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Estimates of the effect of year on moving window trends of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, functio</w:t>
      </w:r>
      <w:r w:rsidR="00472DC8" w:rsidRPr="003B7E95">
        <w:rPr>
          <w:rFonts w:ascii="Times New Roman" w:hAnsi="Times New Roman" w:cs="Times New Roman"/>
          <w:sz w:val="24"/>
          <w:szCs w:val="24"/>
        </w:rPr>
        <w:t>nal redundancy</w:t>
      </w:r>
      <w:r w:rsidR="00185E52" w:rsidRPr="003B7E95">
        <w:rPr>
          <w:rFonts w:ascii="Times New Roman" w:hAnsi="Times New Roman" w:cs="Times New Roman"/>
          <w:sz w:val="24"/>
          <w:szCs w:val="24"/>
        </w:rPr>
        <w:t xml:space="preserve">. </w:t>
      </w:r>
      <w:r w:rsidR="003B7E95" w:rsidRPr="003B7E95">
        <w:rPr>
          <w:rFonts w:ascii="Times New Roman" w:hAnsi="Times New Roman" w:cs="Times New Roman"/>
          <w:sz w:val="24"/>
          <w:szCs w:val="24"/>
        </w:rPr>
        <w:t>Error bars around model estimates indicate 80%, 90%, and 95% credible intervals.</w:t>
      </w:r>
      <w:r w:rsidR="003B7E95" w:rsidRPr="003B7E95">
        <w:t xml:space="preserve">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The negative estimates found for taxon and functional richness indicate a reduction in trends over time (</w:t>
      </w:r>
      <w:proofErr w:type="gramStart"/>
      <w:r w:rsidR="00185E52">
        <w:rPr>
          <w:rFonts w:ascii="Times New Roman" w:hAnsi="Times New Roman" w:cs="Times New Roman"/>
          <w:color w:val="000000"/>
          <w:sz w:val="24"/>
          <w:szCs w:val="24"/>
        </w:rPr>
        <w:t>i.e.</w:t>
      </w:r>
      <w:proofErr w:type="gramEnd"/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a shift from positive trends with windows in the 1990s to net zero trends for windows in the 2010s).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Estimates corresponded to an average reduction of 8.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8%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106EFE">
        <w:rPr>
          <w:rFonts w:ascii="Times New Roman" w:hAnsi="Times New Roman" w:cs="Times New Roman"/>
          <w:color w:val="000000"/>
          <w:sz w:val="24"/>
          <w:szCs w:val="24"/>
        </w:rPr>
        <w:t>taxon</w:t>
      </w:r>
      <w:proofErr w:type="spellEnd"/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 and a reduction of 5.9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% y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functional richness 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trend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06EFE" w:rsidRPr="00106EFE">
        <w:rPr>
          <w:rFonts w:ascii="Times New Roman" w:hAnsi="Times New Roman" w:cs="Times New Roman"/>
          <w:color w:val="000000"/>
          <w:sz w:val="24"/>
          <w:szCs w:val="24"/>
        </w:rPr>
        <w:t>. Overlapping</w:t>
      </w:r>
      <w:r w:rsidR="00106EFE">
        <w:rPr>
          <w:rFonts w:ascii="Times New Roman" w:hAnsi="Times New Roman" w:cs="Times New Roman"/>
          <w:color w:val="000000"/>
          <w:sz w:val="24"/>
          <w:szCs w:val="24"/>
        </w:rPr>
        <w:t xml:space="preserve"> error bars of estimates for abundance and functional redundancy indicate no strong linear change in trend trajectories. 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>See Figure 3 in the main manuscript for ch</w:t>
      </w:r>
      <w:r w:rsidR="005873AF">
        <w:rPr>
          <w:rFonts w:ascii="Times New Roman" w:hAnsi="Times New Roman" w:cs="Times New Roman"/>
          <w:color w:val="000000"/>
          <w:sz w:val="24"/>
          <w:szCs w:val="24"/>
        </w:rPr>
        <w:t>ange in moving window trends over time.</w:t>
      </w:r>
    </w:p>
    <w:p w14:paraId="05DD7C1F" w14:textId="15799955" w:rsidR="006A32D5" w:rsidRPr="00CD0DF2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09409D7" w14:textId="4E92F96B" w:rsidR="006A1692" w:rsidRDefault="00684D39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7774C2B" wp14:editId="120B9576">
            <wp:extent cx="5943600" cy="4829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7F3DB2AB" w:rsidR="00CD0DF2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B17104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5D609AC" w14:textId="75B9441A" w:rsidR="006A32D5" w:rsidRDefault="00CD0DF2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A110855" w14:textId="2D5F0C9F" w:rsidR="001850FB" w:rsidRDefault="005B56E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740661" wp14:editId="5428EE8F">
            <wp:extent cx="5943600" cy="4829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56557442" w:rsidR="00CD0DF2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3</w:t>
      </w:r>
      <w:r w:rsidRPr="001850FB">
        <w:rPr>
          <w:rFonts w:ascii="Times New Roman" w:hAnsi="Times New Roman" w:cs="Times New Roman"/>
          <w:b/>
          <w:sz w:val="24"/>
          <w:szCs w:val="24"/>
        </w:rPr>
        <w:t xml:space="preserve">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185E5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60D7EABE" w14:textId="3D9DA795" w:rsidR="001850FB" w:rsidRDefault="00CD0DF2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3F435367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4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taxon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0C8401BC" w14:textId="72485D50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4C794DCC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5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abundance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312AA7EF" w14:textId="764BE2D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76368A14" w:rsidR="00CD0DF2" w:rsidRDefault="00116316" w:rsidP="00116316">
      <w:pPr>
        <w:pStyle w:val="NoSpacing"/>
        <w:rPr>
          <w:rFonts w:ascii="Times New Roman" w:hAnsi="Times New Roman" w:cs="Times New Roman"/>
          <w:color w:val="000000"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6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23224ED2" w14:textId="5A320DB4" w:rsidR="00116316" w:rsidRPr="00CD0DF2" w:rsidRDefault="00CD0DF2" w:rsidP="00CD0DF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21DD3B1E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</w:t>
      </w:r>
      <w:r w:rsidR="00B17104">
        <w:rPr>
          <w:rFonts w:ascii="Times New Roman" w:hAnsi="Times New Roman" w:cs="Times New Roman"/>
          <w:b/>
          <w:sz w:val="24"/>
          <w:szCs w:val="24"/>
        </w:rPr>
        <w:t>7</w:t>
      </w:r>
      <w:r w:rsidRPr="00116316">
        <w:rPr>
          <w:rFonts w:ascii="Times New Roman" w:hAnsi="Times New Roman" w:cs="Times New Roman"/>
          <w:b/>
          <w:sz w:val="24"/>
          <w:szCs w:val="24"/>
        </w:rPr>
        <w:t xml:space="preserve">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functional redundancy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10B6558E" w:rsidR="00EF2F8E" w:rsidRDefault="00EF2F8E">
      <w:pPr>
        <w:rPr>
          <w:bCs/>
        </w:rPr>
      </w:pPr>
      <w:r>
        <w:rPr>
          <w:bCs/>
        </w:rPr>
        <w:br w:type="page"/>
      </w:r>
    </w:p>
    <w:p w14:paraId="624CC0B1" w14:textId="6C406D1B" w:rsidR="007147E9" w:rsidRDefault="007147E9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A68DEE" wp14:editId="1C4A97F8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AF90" w14:textId="66322379" w:rsidR="00EF2F8E" w:rsidRPr="007147E9" w:rsidRDefault="00EF2F8E" w:rsidP="00EF2F8E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28 | Marginal effect of mean maximum temperatures on biodiversity metrics.</w:t>
      </w:r>
      <w:r w:rsidR="007147E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147E9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7147E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7147E9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7147E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in response </w:t>
      </w:r>
      <w:r w:rsidR="007147E9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48CA803E" w14:textId="301CD296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CC7909E" w14:textId="0D746BE2" w:rsidR="007147E9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5B6A22" wp14:editId="5DBE69F1">
            <wp:extent cx="5943600" cy="258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35C" w14:textId="4B9D221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29 | Marginal effect of temperature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the slope of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annual temperature from the first to last sampling year. Annual temperature refers to the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mean monthly maximum temperature (ºC)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3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5F5FA6B7" w14:textId="6F03EC37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89ECA0" w14:textId="49480047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3F9070" wp14:editId="1EA93793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D103" w14:textId="6B7D93D4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30 | Marginal effect of mean annual precipitation rates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mean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cumulative precipitation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mm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39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79E41755" w14:textId="3A47664E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02C904E" w14:textId="551A8E5D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D4647E" wp14:editId="3A4B56C7">
            <wp:extent cx="59436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985" w14:textId="0C6DCDD1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31 | Marginal effect of precipitation trends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n response to the slope of annual precipitation from the first to last sampling year. Annual precipitation refers to the cumulative precipitation (mm)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for each 12-month period preceding the mean sampling month at each site.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Biodiversity response t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rends were calculated while holding other driver covariates at their median (for script see </w:t>
      </w:r>
      <w:hyperlink r:id="rId41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3E60227F" w14:textId="28A8F59A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4E2D2AF" w14:textId="2C9C53D6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490566" wp14:editId="0A76DCD4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495" w14:textId="1EF7330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32 | Marginal effect of dam impact scores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>dam impact scores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 xml:space="preserve">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calculation of dam impact scores.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3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9183D7A" w14:textId="3CB97730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21E50C5" w14:textId="30C77C95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03389E" wp14:editId="379179CC">
            <wp:extent cx="5943600" cy="2971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B9D" w14:textId="3E1AA34A" w:rsidR="001A662C" w:rsidRPr="007147E9" w:rsidRDefault="00EF2F8E" w:rsidP="001A662C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33 | Marginal effect of mean % upstream urban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functional turnover in response to </w:t>
      </w:r>
      <w:r w:rsidR="00204F11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urban cover across the sampling years. See </w:t>
      </w:r>
      <w:r w:rsidR="00204F11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204F11">
        <w:rPr>
          <w:rFonts w:ascii="Times New Roman" w:eastAsia="Times New Roman" w:hAnsi="Times New Roman" w:cs="Times New Roman"/>
          <w:sz w:val="24"/>
          <w:szCs w:val="24"/>
        </w:rPr>
        <w:t>for details on land cover calculations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5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p w14:paraId="01FB34E9" w14:textId="500D515C" w:rsidR="000454C4" w:rsidRDefault="000454C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F70E50" w14:textId="364A16BF" w:rsidR="00EF2F8E" w:rsidRPr="007147E9" w:rsidRDefault="000454C4" w:rsidP="00EF2F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3577AE5" wp14:editId="6A7139AB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4D7" w14:textId="4D448ACE" w:rsidR="006A1692" w:rsidRPr="00CD0DF2" w:rsidRDefault="00EF2F8E" w:rsidP="00CD0DF2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 w:rsidRPr="007147E9">
        <w:rPr>
          <w:rFonts w:ascii="Times New Roman" w:hAnsi="Times New Roman" w:cs="Times New Roman"/>
          <w:b/>
          <w:sz w:val="24"/>
          <w:szCs w:val="24"/>
        </w:rPr>
        <w:t>Fig. 34 | Marginal effect of mean % upstream crop areas on biodiversity metrics.</w:t>
      </w:r>
      <w:r w:rsidR="001A66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662C">
        <w:rPr>
          <w:rFonts w:ascii="Times New Roman" w:hAnsi="Times New Roman" w:cs="Times New Roman"/>
          <w:bCs/>
          <w:sz w:val="24"/>
          <w:szCs w:val="24"/>
        </w:rPr>
        <w:t xml:space="preserve">Predicted trends of </w:t>
      </w:r>
      <w:r w:rsidR="001A662C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taxon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abundance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turnover,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richness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redundancy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evenness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1A662C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1A662C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A662C">
        <w:rPr>
          <w:rFonts w:ascii="Times New Roman" w:hAnsi="Times New Roman" w:cs="Times New Roman"/>
          <w:color w:val="000000"/>
          <w:sz w:val="24"/>
          <w:szCs w:val="24"/>
        </w:rPr>
        <w:t>functional turnover in response to</w:t>
      </w:r>
      <w:r w:rsidR="003518A3" w:rsidRPr="003518A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518A3">
        <w:rPr>
          <w:rFonts w:ascii="Times New Roman" w:hAnsi="Times New Roman" w:cs="Times New Roman"/>
          <w:color w:val="000000"/>
          <w:sz w:val="24"/>
          <w:szCs w:val="24"/>
        </w:rPr>
        <w:t xml:space="preserve">the mean % area of upstream land classifies as crop cover across the sampling years. See </w:t>
      </w:r>
      <w:r w:rsidR="003518A3" w:rsidRPr="00204F1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main text: Methods: Stream characteristics and environmental predictors: (b) Environmental predictors </w:t>
      </w:r>
      <w:r w:rsidR="003518A3">
        <w:rPr>
          <w:rFonts w:ascii="Times New Roman" w:eastAsia="Times New Roman" w:hAnsi="Times New Roman" w:cs="Times New Roman"/>
          <w:sz w:val="24"/>
          <w:szCs w:val="24"/>
        </w:rPr>
        <w:t xml:space="preserve">for details on land cover calculations. </w:t>
      </w:r>
      <w:r w:rsidR="000454C4">
        <w:rPr>
          <w:rFonts w:ascii="Times New Roman" w:eastAsia="Times New Roman" w:hAnsi="Times New Roman" w:cs="Times New Roman"/>
          <w:sz w:val="24"/>
          <w:szCs w:val="24"/>
        </w:rPr>
        <w:t xml:space="preserve">Black lines represent mean trends, grey polygons indicate 95% credible intervals, and red dashed lines indicate where predicted biodiversity trends are at 0. 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Trends were calculated while holding other driver covariates at their median (for script see </w:t>
      </w:r>
      <w:hyperlink r:id="rId47">
        <w:r w:rsidR="001A662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https://github.com/Ewelti/EuroAquaticMacroInverts</w:t>
        </w:r>
      </w:hyperlink>
      <w:r w:rsidR="001A662C">
        <w:rPr>
          <w:rFonts w:ascii="Times New Roman" w:eastAsia="Times New Roman" w:hAnsi="Times New Roman" w:cs="Times New Roman"/>
          <w:sz w:val="24"/>
          <w:szCs w:val="24"/>
        </w:rPr>
        <w:t>, R/</w:t>
      </w:r>
      <w:proofErr w:type="spell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HPC_Meta_analysis_</w:t>
      </w:r>
      <w:proofErr w:type="gramStart"/>
      <w:r w:rsidR="001A662C" w:rsidRPr="001A662C">
        <w:rPr>
          <w:rFonts w:ascii="Times New Roman" w:eastAsia="Times New Roman" w:hAnsi="Times New Roman" w:cs="Times New Roman"/>
          <w:sz w:val="24"/>
          <w:szCs w:val="24"/>
        </w:rPr>
        <w:t>drivers</w:t>
      </w:r>
      <w:r w:rsidR="001A662C">
        <w:rPr>
          <w:rFonts w:ascii="Times New Roman" w:eastAsia="Times New Roman" w:hAnsi="Times New Roman" w:cs="Times New Roman"/>
          <w:sz w:val="24"/>
          <w:szCs w:val="24"/>
        </w:rPr>
        <w:t>.R</w:t>
      </w:r>
      <w:proofErr w:type="spellEnd"/>
      <w:proofErr w:type="gram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). Trend direction from our main driver analysis is also shown in the main text as effects with unit </w:t>
      </w:r>
      <w:proofErr w:type="spellStart"/>
      <w:r w:rsidR="001A662C">
        <w:rPr>
          <w:rFonts w:ascii="Times New Roman" w:eastAsia="Times New Roman" w:hAnsi="Times New Roman" w:cs="Times New Roman"/>
          <w:sz w:val="24"/>
          <w:szCs w:val="24"/>
        </w:rPr>
        <w:t>sd</w:t>
      </w:r>
      <w:proofErr w:type="spellEnd"/>
      <w:r w:rsidR="001A662C">
        <w:rPr>
          <w:rFonts w:ascii="Times New Roman" w:eastAsia="Times New Roman" w:hAnsi="Times New Roman" w:cs="Times New Roman"/>
          <w:sz w:val="24"/>
          <w:szCs w:val="24"/>
        </w:rPr>
        <w:t xml:space="preserve"> (Fig. 4).</w:t>
      </w:r>
    </w:p>
    <w:sectPr w:rsidR="006A1692" w:rsidRPr="00CD0DF2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4FC8D" w14:textId="77777777" w:rsidR="00263C16" w:rsidRDefault="00263C16" w:rsidP="0052086F">
      <w:pPr>
        <w:spacing w:after="0" w:line="240" w:lineRule="auto"/>
      </w:pPr>
      <w:r>
        <w:separator/>
      </w:r>
    </w:p>
  </w:endnote>
  <w:endnote w:type="continuationSeparator" w:id="0">
    <w:p w14:paraId="16610257" w14:textId="77777777" w:rsidR="00263C16" w:rsidRDefault="00263C16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A2A37" w14:textId="77777777" w:rsidR="00263C16" w:rsidRDefault="00263C16" w:rsidP="0052086F">
      <w:pPr>
        <w:spacing w:after="0" w:line="240" w:lineRule="auto"/>
      </w:pPr>
      <w:r>
        <w:separator/>
      </w:r>
    </w:p>
  </w:footnote>
  <w:footnote w:type="continuationSeparator" w:id="0">
    <w:p w14:paraId="31C30071" w14:textId="77777777" w:rsidR="00263C16" w:rsidRDefault="00263C16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8D72CE"/>
    <w:multiLevelType w:val="hybridMultilevel"/>
    <w:tmpl w:val="1B12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4437E"/>
    <w:multiLevelType w:val="hybridMultilevel"/>
    <w:tmpl w:val="ECC04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4"/>
  </w:num>
  <w:num w:numId="3" w16cid:durableId="387997057">
    <w:abstractNumId w:val="2"/>
  </w:num>
  <w:num w:numId="4" w16cid:durableId="1513102790">
    <w:abstractNumId w:val="3"/>
  </w:num>
  <w:num w:numId="5" w16cid:durableId="533419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454C4"/>
    <w:rsid w:val="00065C78"/>
    <w:rsid w:val="00106EFE"/>
    <w:rsid w:val="00116316"/>
    <w:rsid w:val="00144A07"/>
    <w:rsid w:val="001610AA"/>
    <w:rsid w:val="001758CE"/>
    <w:rsid w:val="00176376"/>
    <w:rsid w:val="001850FB"/>
    <w:rsid w:val="00185E52"/>
    <w:rsid w:val="001A662C"/>
    <w:rsid w:val="001E39CE"/>
    <w:rsid w:val="00204F11"/>
    <w:rsid w:val="00236571"/>
    <w:rsid w:val="00240128"/>
    <w:rsid w:val="00263C16"/>
    <w:rsid w:val="00281F02"/>
    <w:rsid w:val="002D4B67"/>
    <w:rsid w:val="002F0727"/>
    <w:rsid w:val="00324569"/>
    <w:rsid w:val="00324E48"/>
    <w:rsid w:val="003518A3"/>
    <w:rsid w:val="003B673A"/>
    <w:rsid w:val="003B7E95"/>
    <w:rsid w:val="003E0162"/>
    <w:rsid w:val="004265A5"/>
    <w:rsid w:val="004512D0"/>
    <w:rsid w:val="00472DC8"/>
    <w:rsid w:val="0047364F"/>
    <w:rsid w:val="0052086F"/>
    <w:rsid w:val="005241F7"/>
    <w:rsid w:val="00526B03"/>
    <w:rsid w:val="00566666"/>
    <w:rsid w:val="005873AF"/>
    <w:rsid w:val="005A4CB6"/>
    <w:rsid w:val="005B0714"/>
    <w:rsid w:val="005B56EF"/>
    <w:rsid w:val="005F3F7B"/>
    <w:rsid w:val="00604837"/>
    <w:rsid w:val="00606A2B"/>
    <w:rsid w:val="00654394"/>
    <w:rsid w:val="0065456B"/>
    <w:rsid w:val="00684D39"/>
    <w:rsid w:val="006A1692"/>
    <w:rsid w:val="006A32D5"/>
    <w:rsid w:val="006B3F7F"/>
    <w:rsid w:val="0070635A"/>
    <w:rsid w:val="007147E9"/>
    <w:rsid w:val="00716BF2"/>
    <w:rsid w:val="00780C8C"/>
    <w:rsid w:val="007E748B"/>
    <w:rsid w:val="00804943"/>
    <w:rsid w:val="00857464"/>
    <w:rsid w:val="00873739"/>
    <w:rsid w:val="008B7B2E"/>
    <w:rsid w:val="00960116"/>
    <w:rsid w:val="00987A85"/>
    <w:rsid w:val="009B2EC7"/>
    <w:rsid w:val="009F285A"/>
    <w:rsid w:val="009F7ABB"/>
    <w:rsid w:val="00A30AD3"/>
    <w:rsid w:val="00A50526"/>
    <w:rsid w:val="00A90362"/>
    <w:rsid w:val="00A92D7B"/>
    <w:rsid w:val="00A96A7D"/>
    <w:rsid w:val="00AB3C10"/>
    <w:rsid w:val="00AC666A"/>
    <w:rsid w:val="00B11608"/>
    <w:rsid w:val="00B17104"/>
    <w:rsid w:val="00B81340"/>
    <w:rsid w:val="00C57F76"/>
    <w:rsid w:val="00C62714"/>
    <w:rsid w:val="00CC0A0F"/>
    <w:rsid w:val="00CD0DF2"/>
    <w:rsid w:val="00CE45FC"/>
    <w:rsid w:val="00D62A1C"/>
    <w:rsid w:val="00D9117E"/>
    <w:rsid w:val="00E051BD"/>
    <w:rsid w:val="00E14F9E"/>
    <w:rsid w:val="00E312DF"/>
    <w:rsid w:val="00E36D87"/>
    <w:rsid w:val="00E85BEA"/>
    <w:rsid w:val="00ED246E"/>
    <w:rsid w:val="00ED6653"/>
    <w:rsid w:val="00EF2F8E"/>
    <w:rsid w:val="00EF3D69"/>
    <w:rsid w:val="00F017C9"/>
    <w:rsid w:val="00F405A9"/>
    <w:rsid w:val="00F9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hyperlink" Target="https://github.com/Ewelti/EuroAquaticMacroInverts" TargetMode="External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2.tiff"/><Relationship Id="rId47" Type="http://schemas.openxmlformats.org/officeDocument/2006/relationships/hyperlink" Target="https://github.com/Ewelti/EuroAquaticMacroInverts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hyperlink" Target="https://github.com/Ewelti/EuroAquaticMacroInverts" TargetMode="External"/><Relationship Id="rId40" Type="http://schemas.openxmlformats.org/officeDocument/2006/relationships/image" Target="media/image31.tiff"/><Relationship Id="rId45" Type="http://schemas.openxmlformats.org/officeDocument/2006/relationships/hyperlink" Target="https://github.com/Ewelti/EuroAquaticMacroInver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29.tiff"/><Relationship Id="rId49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4" Type="http://schemas.openxmlformats.org/officeDocument/2006/relationships/image" Target="media/image3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hyperlink" Target="https://github.com/Ewelti/EuroAquaticMacroInverts" TargetMode="External"/><Relationship Id="rId43" Type="http://schemas.openxmlformats.org/officeDocument/2006/relationships/hyperlink" Target="https://github.com/Ewelti/EuroAquaticMacroInverts" TargetMode="External"/><Relationship Id="rId48" Type="http://schemas.openxmlformats.org/officeDocument/2006/relationships/footer" Target="footer1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0.tiff"/><Relationship Id="rId46" Type="http://schemas.openxmlformats.org/officeDocument/2006/relationships/image" Target="media/image34.tiff"/><Relationship Id="rId20" Type="http://schemas.openxmlformats.org/officeDocument/2006/relationships/image" Target="media/image14.tiff"/><Relationship Id="rId41" Type="http://schemas.openxmlformats.org/officeDocument/2006/relationships/hyperlink" Target="https://github.com/Ewelti/EuroAquaticMacroInvert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37</Pages>
  <Words>3545</Words>
  <Characters>20211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34</cp:revision>
  <dcterms:created xsi:type="dcterms:W3CDTF">2022-08-24T22:57:00Z</dcterms:created>
  <dcterms:modified xsi:type="dcterms:W3CDTF">2023-04-29T19:01:00Z</dcterms:modified>
</cp:coreProperties>
</file>